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/>
          <w:b/>
          <w:bCs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广东省中山市质量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技术</w:t>
      </w:r>
      <w:r>
        <w:rPr>
          <w:rFonts w:hint="eastAsia"/>
          <w:b/>
          <w:bCs/>
          <w:color w:val="000000"/>
          <w:sz w:val="44"/>
          <w:szCs w:val="44"/>
        </w:rPr>
        <w:t>监督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标准与编码</w:t>
      </w:r>
      <w:r>
        <w:rPr>
          <w:rFonts w:hint="eastAsia"/>
          <w:b/>
          <w:bCs/>
          <w:color w:val="000000"/>
          <w:sz w:val="44"/>
          <w:szCs w:val="44"/>
        </w:rPr>
        <w:t>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20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24</w:t>
      </w:r>
      <w:r>
        <w:rPr>
          <w:rFonts w:hint="eastAsia"/>
          <w:b/>
          <w:bCs/>
          <w:color w:val="000000"/>
          <w:sz w:val="44"/>
          <w:szCs w:val="44"/>
        </w:rPr>
        <w:t>年招聘专业技术人员方案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textAlignment w:val="auto"/>
        <w:rPr>
          <w:rFonts w:hint="eastAsia"/>
          <w:color w:val="000000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一、单位基本情况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广东省中山市质量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标准与编码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所是隶属于广东省市场监督管理局管理的事业单位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经广东省机构编制委员会批准成立的事业机构，并经授权作为中国物品编码中心广东分中心对口的市级分支机构，也是集国内外标准资料馆藏、标准与TBT信息跟踪、标准化与TBT研究、服务、应用于一体的公益性标准化技术机构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招聘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（一）标准化专业岗位1人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岗位工作内容包括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承担农业、工业、服务业、社会管理和公共服务领域标准制修订、标准体系建设工作；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完成各级标准化纵向课题的申报、调研及实施工作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完成各类标准化试点的申报、实施工作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开展WTO/TBT应对措施研究，完成TBT相关课题的申报、实施工作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具体要求如下：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计量、质量、标准化、机械、电子、机电、自动化、智能制造、应用化学、化工、材料、纺织、农业、食品、环境、安全、规划、计算机、信息技术、大数据、信用、社会学、公用事业、服务、管理、英语等类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全日制本科或以上学历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1年以上相关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工作经验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具有较强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的文字表达能力和熟练的计算机使用能力；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岁以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具有中华人民共和国国籍；遵纪守法，具有良好的品行和职业道德；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具有正常履行职责的身体条件和工作能力；具有较强的工作责任感、团队协作能力和敬业精神；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曾因犯罪受过刑事处罚的人员和曾被开除公职的人员、现役军人、正在接受有关部门审查处理或在处分期内的人员，以及有关法律法规规定不得聘用到事业单位工作的人员，不得报名。国有单位在职人员报考须征得工作单位同意，并出具书面证明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）会计专业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岗位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岗位工作内容包括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支出审核、会计核算、档案管理、资产报表、单位预算、决算、政府财务报告、内控报告、绩效评价、绩效考核、税务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等工作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熟悉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财经政策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法规，做好单位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财务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部管理控制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制度；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协调处理好单位国有资产管理；做好下属单位财务工作指导及监督；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完成上级交办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其他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具体要求如下：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会计或财经类专业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全日制本科或以上学历，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具有会计师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或中级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以上职称资格；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熟悉财政、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税务政策、审计政策及相关法律法规，在财务会计岗位工作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岁以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具有中华人民共和国国籍；遵纪守法，具有良好的品行和职业道德；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具有正常履行职责的身体条件和工作能力；具有较强的工作责任感、团队协作能力和敬业精神；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曾因犯罪受过刑事处罚的人员和曾被开除公职的人员、现役军人、正在接受有关部门审查处理或在处分期内的人员，以及有关法律法规规定不得聘用到事业单位工作的人员，不得报名。国有单位在职人员报考须征得工作单位同意，并出具书面证明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、招聘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程序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（一）报名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招聘采取网络报名方式。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报名人员应仔细阅读招聘通告，清楚岗位资格条件，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只能选择一个职位进行报名，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确认符合条件后在通告规定的报名时间内，将报名表、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学历学位证明、职称证明、资历证明、身份证正反面、其他相关材料及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本人近期免冠2寸正面证件电子照片(格式为*.JPG格式，大小为20KB以下)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zszjbms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.com邮箱。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应聘人员对本人信息和材料的真实性负责，如填报信息和提交材料不实，将取消雇用资格。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（二）资格审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查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本所根据收到的报名材料进行筛选与资格审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试人员名单，并通过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电子邮件和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电话方式向通过资格审查的人员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发放准考证及统一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试。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（三）笔试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笔试由本所组织实施，报考者凭身份证和准考证参加。根据笔试成绩由高到低按具体职位招录人数1：5的比例在笔试成绩合格报考者中确定面试人选。笔试合格报考者达不到规定比例的，按实际合格人数确定面试人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）面试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面试由本所组织实施，由分管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、办公室、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纪检监察室、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财务室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及标准化室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等相关人员组成面试工作小组。参加面试的人员在面试时须带上学历学位证（在职学历要求出具学历认证证明）、职称证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、资历证明、身份证、其他相关证明材料的原件和复印件一套，本所审原件留复印件。面试采取结构化面试等方式进行，侧重于工作态度、业务水平、沟通逻辑能力、举止仪态等方面。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面试结束后，由面试工作小组讨论等额确定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用人选。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三、体检和雇用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参照《中山市机关雇员雇用体检标准》执行，体检要求在中山市人民医院、中山市博爱医院或中山市中医院进行，体检不合格或者放弃聘用的，可由面试工作小组在参加面试人员中确定递补体检人选。体检合格者按本所规定办理雇用手续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sz w:val="32"/>
        <w:szCs w:val="32"/>
      </w:rPr>
    </w:pPr>
    <w:r>
      <w:rPr>
        <w:rStyle w:val="8"/>
        <w:rFonts w:hint="eastAsia"/>
        <w:sz w:val="32"/>
        <w:szCs w:val="32"/>
      </w:rPr>
      <w:t>-</w:t>
    </w:r>
    <w:r>
      <w:rPr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>
      <w:rPr>
        <w:rStyle w:val="8"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rStyle w:val="8"/>
        <w:rFonts w:hint="eastAsia"/>
        <w:sz w:val="32"/>
        <w:szCs w:val="32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sz w:val="32"/>
        <w:szCs w:val="32"/>
      </w:rPr>
    </w:pPr>
    <w:r>
      <w:rPr>
        <w:rStyle w:val="8"/>
        <w:rFonts w:hint="eastAsia"/>
        <w:sz w:val="32"/>
        <w:szCs w:val="32"/>
      </w:rPr>
      <w:t>-</w:t>
    </w:r>
    <w:r>
      <w:rPr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>
      <w:rPr>
        <w:rStyle w:val="8"/>
        <w:sz w:val="32"/>
        <w:szCs w:val="32"/>
      </w:rPr>
      <w:t>2</w:t>
    </w:r>
    <w:r>
      <w:rPr>
        <w:sz w:val="32"/>
        <w:szCs w:val="32"/>
      </w:rPr>
      <w:fldChar w:fldCharType="end"/>
    </w:r>
    <w:r>
      <w:rPr>
        <w:rStyle w:val="8"/>
        <w:rFonts w:hint="eastAsia"/>
        <w:sz w:val="32"/>
        <w:szCs w:val="32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92F2B"/>
    <w:rsid w:val="0D792F2B"/>
    <w:rsid w:val="14F270EC"/>
    <w:rsid w:val="2E84005D"/>
    <w:rsid w:val="339D6ABC"/>
    <w:rsid w:val="38C334E3"/>
    <w:rsid w:val="3E0334CE"/>
    <w:rsid w:val="3F6C69A4"/>
    <w:rsid w:val="6D9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中山市市场监督管理局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2024-01-24T07:59:00Z</dcterms:created>
  <dc:creator>高珊</dc:creator>
  <cp:lastModifiedBy>高珊</cp:lastModifiedBy>
  <dcterms:modified xsi:type="dcterms:W3CDTF">2024-01-26T01:37:54Z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E0366694F9BB467FA1057D0FB4DFE9BA</vt:lpwstr>
  </property>
</Properties>
</file>